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hint="eastAsia" w:ascii="Arial" w:hAnsi="Arial" w:cs="Arial"/>
          <w:b/>
          <w:sz w:val="24"/>
        </w:rPr>
        <w:t>3GPP TSG-RAN WG4 Meeting # 102-e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color w:val="auto"/>
          <w:sz w:val="24"/>
          <w:lang w:eastAsia="zh-CN"/>
        </w:rPr>
        <w:t>R4-2204432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>Electronic Meeting, February 21 – March 3, 2022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rFonts w:hint="eastAsia" w:eastAsiaTheme="minorEastAsia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</w:t>
      </w:r>
      <w:r>
        <w:rPr>
          <w:rFonts w:hint="eastAsia" w:ascii="Arial" w:hAnsi="Arial" w:eastAsiaTheme="minorEastAsia"/>
          <w:b/>
          <w:sz w:val="24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Arial" w:hAnsi="Arial" w:eastAsia="MS Mincho"/>
          <w:b/>
          <w:sz w:val="24"/>
          <w:lang w:eastAsia="zh-CN"/>
        </w:rPr>
        <w:t>PDSCH requirements under Bi-directional scenario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10.9.4.2.2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the test issues for uni-directional scenario and bi-directional scenario are discussed.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RAN4# 101-bis-e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UE test cases were discussed and the 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following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2 option test applicability rule was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reached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RAN4 define UE demodulation requirements with transmission schemes as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left="144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Case 1: Uni-directional scenario A with DPS scheme 1b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left="144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Case 2: Bi-directional scenario B with DPS scheme 1a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left="144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Test applicability rule 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Option 1 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If UE is capable of more than 1 activated TCI state, UE should pass test both case 1 and case 2, otherwise, UE should only pass test of case 2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Option 2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If UE is capable of more than 1 activated TCI state, UE should pass test both case 1 and case 2, otherwise, UE should only pass test of case 2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If UE passes case 1 (Uni-directional scenario A with DPS scheme 1b), the performance of Uni-directional scenario B with DPS scheme 1b are also guaranteed.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Channel Model names for DPS transmission schemes  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left="144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Bi-directional scenario B :   HST-DPS-FR2-BI-B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left="1440" w:firstLineChars="0"/>
              <w:textAlignment w:val="auto"/>
              <w:rPr>
                <w:lang w:val="en-GB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Uni-directional scenario A:  HST-DPS-FR2-UNI-A</w:t>
            </w:r>
          </w:p>
        </w:tc>
      </w:tr>
    </w:tbl>
    <w:p>
      <w:pPr>
        <w:pStyle w:val="29"/>
        <w:spacing w:beforeLines="100" w:line="26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The combination of scenario, deployment and transmission scheme is summarized in table 1.</w:t>
      </w:r>
    </w:p>
    <w:p>
      <w:pPr>
        <w:pStyle w:val="29"/>
        <w:spacing w:beforeLines="100" w:line="260" w:lineRule="auto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Table 1 test cases with combinations of different scenarios, deployments and transmission schemes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111"/>
        <w:gridCol w:w="1438"/>
        <w:gridCol w:w="1944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index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 xml:space="preserve">Scenario 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 xml:space="preserve">Deployment 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Transmission scheme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Corresponding test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Index_1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Scenario A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Uni-directional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1a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Index_2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Scenario A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 xml:space="preserve">Uni-directional 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1b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Case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Index_3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Scenario 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Uni-directional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1a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Index_4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Scenario 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 xml:space="preserve">Uni-directional 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1b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Index_5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Scenario 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Bi-directional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1a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</w:rPr>
              <w:t>Case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Index_6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Scenario 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 xml:space="preserve">Bi-directional 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1b</w:t>
            </w:r>
          </w:p>
        </w:tc>
        <w:tc>
          <w:tcPr>
            <w:tcW w:w="0" w:type="auto"/>
          </w:tcPr>
          <w:p>
            <w:pPr>
              <w:pStyle w:val="29"/>
              <w:adjustRightInd w:val="0"/>
              <w:snapToGrid w:val="0"/>
              <w:spacing w:after="0" w:line="240" w:lineRule="auto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</w:rPr>
              <w:t>-</w:t>
            </w:r>
          </w:p>
        </w:tc>
      </w:tr>
    </w:tbl>
    <w:p>
      <w:pPr>
        <w:pStyle w:val="29"/>
        <w:spacing w:beforeLines="100" w:line="260" w:lineRule="auto"/>
        <w:ind w:firstLine="0" w:firstLineChars="0"/>
        <w:rPr>
          <w:rFonts w:hint="default" w:ascii="Times New Roman" w:hAnsi="Times New Roman" w:eastAsia="宋体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If complete testing is required, each of the above combinations should be tested. To strike a balance between completeness and complexity, we identified the above two test options. The difference between the 2 options is that option 2 emphasizes the need to ensure the performance of Uni-directional scenario B with DPS scheme 1b when case1 is passed. In other words, index_2 and index_5 need to be tested for option 1 index_2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index_4 and index_5 need to be tested for option 2.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Figure 1 and figure 2 show uni-directional deployment and bi-directional deployment of scenario B.</w:t>
      </w:r>
    </w:p>
    <w:p>
      <w:pPr>
        <w:pStyle w:val="29"/>
        <w:spacing w:beforeLines="100" w:line="260" w:lineRule="auto"/>
        <w:ind w:firstLine="0" w:firstLineChars="0"/>
      </w:pPr>
      <w:r>
        <w:object>
          <v:shape id="_x0000_i1025" o:spt="75" type="#_x0000_t75" style="height:195.35pt;width:451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29"/>
        <w:spacing w:beforeLines="100" w:line="260" w:lineRule="auto"/>
        <w:ind w:firstLine="0" w:firstLineChars="0"/>
        <w:jc w:val="center"/>
        <w:rPr>
          <w:rFonts w:hint="default" w:eastAsia="宋体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Figure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1 Depiction of scenario B uni-directional deployment</w:t>
      </w:r>
    </w:p>
    <w:p>
      <w:pPr>
        <w:pStyle w:val="29"/>
        <w:spacing w:beforeLines="100" w:line="260" w:lineRule="auto"/>
        <w:ind w:firstLine="0" w:firstLineChars="0"/>
      </w:pPr>
      <w:r>
        <w:object>
          <v:shape id="_x0000_i1026" o:spt="75" type="#_x0000_t75" style="height:188.45pt;width:424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>
      <w:pPr>
        <w:pStyle w:val="29"/>
        <w:spacing w:beforeLines="100" w:line="260" w:lineRule="auto"/>
        <w:ind w:firstLine="0" w:firstLineChars="0"/>
        <w:jc w:val="center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Figure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2 Depiction of scenario B bi-directional deployment</w:t>
      </w:r>
    </w:p>
    <w:p>
      <w:pPr>
        <w:pStyle w:val="29"/>
        <w:spacing w:beforeLines="100" w:line="260" w:lineRule="auto"/>
        <w:ind w:firstLine="0" w:firstLineChars="0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Comparing uni-directional deployment and bi-directional deployment, we can find that the switching point of bi-directional deployment occurs in the middle of two RRHs, which means that bi-directional deployment has less path loss than that of uni-directional deployment. If uni-directional requirement can be met, it is reasonable to expect that bi-directional deployment can be met.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Option 1 is preferred for UE demodulation requirements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rPr>
          <w:rFonts w:hint="default"/>
          <w:b/>
          <w:szCs w:val="20"/>
          <w:lang w:val="en-US"/>
        </w:rPr>
      </w:pPr>
      <w:r>
        <w:rPr>
          <w:rFonts w:hint="eastAsia" w:eastAsia="宋体"/>
          <w:szCs w:val="24"/>
          <w:lang w:val="en-US" w:eastAsia="zh-CN"/>
        </w:rPr>
        <w:t xml:space="preserve">It was agreed in RAN4# 101-bis-e meeting that the following periods were excluded for </w:t>
      </w:r>
      <w:r>
        <w:rPr>
          <w:rFonts w:eastAsia="宋体"/>
          <w:szCs w:val="24"/>
          <w:lang w:eastAsia="zh-CN"/>
        </w:rPr>
        <w:t>throughput statistics</w:t>
      </w:r>
      <w:r>
        <w:rPr>
          <w:rFonts w:hint="eastAsia" w:eastAsia="宋体"/>
          <w:szCs w:val="24"/>
          <w:lang w:val="en-US" w:eastAsia="zh-CN"/>
        </w:rPr>
        <w:t>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Do not consider the following period after receiving MAC CE active TCI switching from the throughput statistics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HARQ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+T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MAC Proc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+T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firstSSB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SSB proc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+T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firstTRSafterSSB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 xml:space="preserve">TRS pro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as baseline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HARQ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 Number of slots between PDSCH and corresponding HARQ-ACK information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MAC proc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 Number of slots for MAC CE processing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firstSSB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number of slots to the first SSB transmission occasion after MAC CE command is decoded by the UE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SSB proc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number of slots for SSB processing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firstTRSafterSSB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number of slot to the first TRS transmission occasion available after (T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firstSSB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+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SSB proc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) 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2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920"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TRS pro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is the number of slots for TRS processing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firstLine="0" w:firstLineChars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FFS the value of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 xml:space="preserve">HARQ,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MAC Proc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firstSSB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firstTRSafterSSB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,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  <w:lang w:eastAsia="zh-CN"/>
              </w:rPr>
              <w:t>TRS pro</w:t>
            </w:r>
          </w:p>
          <w:p>
            <w:pPr>
              <w:pStyle w:val="29"/>
              <w:keepNext w:val="0"/>
              <w:keepLines w:val="0"/>
              <w:pageBreakBefore w:val="0"/>
              <w:widowControl w:val="0"/>
              <w:numPr>
                <w:ilvl w:val="1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20" w:line="240" w:lineRule="auto"/>
              <w:ind w:firstLine="0" w:firstLineChars="0"/>
              <w:textAlignment w:val="auto"/>
              <w:rPr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The output of RRM discussion regarding FR2 HST TCI switching time line can be considered</w:t>
            </w:r>
          </w:p>
        </w:tc>
      </w:tr>
    </w:tbl>
    <w:p>
      <w:pPr>
        <w:rPr>
          <w:rFonts w:hint="eastAsia" w:eastAsia="宋体"/>
          <w:b w:val="0"/>
          <w:bCs/>
          <w:szCs w:val="20"/>
          <w:lang w:val="en-US" w:eastAsia="zh-CN"/>
        </w:rPr>
      </w:pPr>
      <w:r>
        <w:rPr>
          <w:rFonts w:hint="eastAsia" w:eastAsia="宋体"/>
          <w:b w:val="0"/>
          <w:bCs/>
          <w:szCs w:val="20"/>
          <w:lang w:val="en-US" w:eastAsia="zh-CN"/>
        </w:rPr>
        <w:t>With regard to the values of these periods, we share our point of view in table 2.</w:t>
      </w:r>
    </w:p>
    <w:p>
      <w:pPr>
        <w:jc w:val="center"/>
        <w:rPr>
          <w:rFonts w:hint="default" w:eastAsia="宋体"/>
          <w:b w:val="0"/>
          <w:bCs/>
          <w:szCs w:val="20"/>
          <w:lang w:val="en-US" w:eastAsia="zh-CN"/>
        </w:rPr>
      </w:pPr>
      <w:r>
        <w:rPr>
          <w:rFonts w:hint="eastAsia" w:eastAsia="宋体"/>
          <w:b w:val="0"/>
          <w:bCs/>
          <w:szCs w:val="20"/>
          <w:lang w:val="en-US" w:eastAsia="zh-CN"/>
        </w:rPr>
        <w:t>Table 2 values to be considered for the excluded periods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lang w:val="en-US" w:eastAsia="zh-CN"/>
              </w:rPr>
              <w:t>Value(# of slot)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HARQ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MAC proc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firstSSB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SSB proc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Cs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firstTRSafterSSB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TRS pro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</w:tbl>
    <w:p>
      <w:pPr>
        <w:rPr>
          <w:rFonts w:hint="default" w:eastAsia="宋体"/>
          <w:b w:val="0"/>
          <w:bCs/>
          <w:szCs w:val="20"/>
          <w:lang w:val="en-US" w:eastAsia="zh-CN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/>
          <w:b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eastAsia="宋体"/>
          <w:b/>
          <w:kern w:val="0"/>
          <w:sz w:val="20"/>
          <w:szCs w:val="20"/>
          <w:lang w:val="en-US" w:eastAsia="zh-CN"/>
        </w:rPr>
        <w:t>The following values can be considered as the excluded period for throughput statistics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Value(# of slot)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HARQ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MAC proc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firstSSB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SSB proc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firstTRSafterSSB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TRS pro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</w:tbl>
    <w:p>
      <w:pPr>
        <w:rPr>
          <w:b/>
          <w:szCs w:val="20"/>
        </w:rPr>
      </w:pPr>
      <w:r>
        <w:rPr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>In this contribution, we provide the following proposals for HST_FR2 scenario-B: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Option 1 is preferred for UE demodulation requirements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p>
      <w:pPr>
        <w:rPr>
          <w:rFonts w:hint="default" w:eastAsia="宋体"/>
          <w:b w:val="0"/>
          <w:bCs/>
          <w:szCs w:val="20"/>
          <w:lang w:val="en-US" w:eastAsia="zh-CN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/>
          <w:b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</w:t>
      </w:r>
      <w:r>
        <w:rPr>
          <w:rFonts w:hint="eastAsia" w:eastAsia="宋体"/>
          <w:b/>
          <w:kern w:val="0"/>
          <w:sz w:val="20"/>
          <w:szCs w:val="20"/>
          <w:lang w:val="en-US" w:eastAsia="zh-CN"/>
        </w:rPr>
        <w:t>The following values can be considered as the excluded period for throughput statistics</w:t>
      </w:r>
      <w:r>
        <w:rPr>
          <w:rFonts w:ascii="Times New Roman" w:hAnsi="Times New Roman"/>
          <w:b/>
          <w:kern w:val="0"/>
          <w:sz w:val="20"/>
          <w:szCs w:val="20"/>
        </w:rPr>
        <w:t>.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Value(# of slot)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HARQ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MAC proc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firstSSB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SSB proc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firstTRSafterSSB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 w:eastAsia="宋体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ascii="Times New Roman" w:hAnsi="Times New Roman"/>
                <w:b/>
                <w:bCs w:val="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vertAlign w:val="subscript"/>
              </w:rPr>
              <w:t>TRS pro</w:t>
            </w:r>
          </w:p>
        </w:tc>
        <w:tc>
          <w:tcPr>
            <w:tcW w:w="0" w:type="auto"/>
          </w:tcPr>
          <w:p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b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</w:tbl>
    <w:p>
      <w:pPr>
        <w:pStyle w:val="29"/>
        <w:suppressAutoHyphens/>
        <w:ind w:firstLine="0" w:firstLineChars="0"/>
        <w:rPr>
          <w:b/>
          <w:szCs w:val="20"/>
        </w:rPr>
      </w:pPr>
      <w:r>
        <w:rPr>
          <w:rFonts w:hint="eastAsia"/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R4-2203093 draft WF on UE demodulation requirement for FR2 HST</w:t>
      </w:r>
    </w:p>
    <w:p>
      <w:pPr>
        <w:rPr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2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970"/>
    <w:multiLevelType w:val="multilevel"/>
    <w:tmpl w:val="04887970"/>
    <w:lvl w:ilvl="0" w:tentative="0">
      <w:start w:val="9"/>
      <w:numFmt w:val="bullet"/>
      <w:lvlText w:val="-"/>
      <w:lvlJc w:val="left"/>
      <w:pPr>
        <w:ind w:left="2340" w:hanging="42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27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31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6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0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4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8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52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700" w:hanging="420"/>
      </w:pPr>
      <w:rPr>
        <w:rFonts w:hint="default" w:ascii="Wingdings" w:hAnsi="Wingdings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1326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55B7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3F97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174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161C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96B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8B3BAA"/>
    <w:rsid w:val="01957959"/>
    <w:rsid w:val="01DC1C82"/>
    <w:rsid w:val="02065A2E"/>
    <w:rsid w:val="020928F5"/>
    <w:rsid w:val="02626E3D"/>
    <w:rsid w:val="027035ED"/>
    <w:rsid w:val="02770E1A"/>
    <w:rsid w:val="0298367A"/>
    <w:rsid w:val="02D254EC"/>
    <w:rsid w:val="02F72239"/>
    <w:rsid w:val="02FE5F82"/>
    <w:rsid w:val="032D5AEE"/>
    <w:rsid w:val="03A05508"/>
    <w:rsid w:val="03AB67DC"/>
    <w:rsid w:val="03B52240"/>
    <w:rsid w:val="03C77456"/>
    <w:rsid w:val="043D2559"/>
    <w:rsid w:val="0478015E"/>
    <w:rsid w:val="04871001"/>
    <w:rsid w:val="0526729B"/>
    <w:rsid w:val="05510DD1"/>
    <w:rsid w:val="05CD0FFE"/>
    <w:rsid w:val="05E9205B"/>
    <w:rsid w:val="062A620F"/>
    <w:rsid w:val="064B00B0"/>
    <w:rsid w:val="06654A0B"/>
    <w:rsid w:val="06823D8F"/>
    <w:rsid w:val="06C138E4"/>
    <w:rsid w:val="07622262"/>
    <w:rsid w:val="07A91BB0"/>
    <w:rsid w:val="07CD3CDD"/>
    <w:rsid w:val="082344AB"/>
    <w:rsid w:val="09240BB6"/>
    <w:rsid w:val="09294F7D"/>
    <w:rsid w:val="09674661"/>
    <w:rsid w:val="097E672F"/>
    <w:rsid w:val="09825F02"/>
    <w:rsid w:val="09AB6C45"/>
    <w:rsid w:val="09E20449"/>
    <w:rsid w:val="0A2802DC"/>
    <w:rsid w:val="0A731B50"/>
    <w:rsid w:val="0B802D0D"/>
    <w:rsid w:val="0BC176FB"/>
    <w:rsid w:val="0BC70982"/>
    <w:rsid w:val="0BF41031"/>
    <w:rsid w:val="0C953742"/>
    <w:rsid w:val="0CA242EA"/>
    <w:rsid w:val="0D613BA3"/>
    <w:rsid w:val="0D744565"/>
    <w:rsid w:val="0D7F564D"/>
    <w:rsid w:val="0D835665"/>
    <w:rsid w:val="0DE052FE"/>
    <w:rsid w:val="0E3330D0"/>
    <w:rsid w:val="0ECE66B5"/>
    <w:rsid w:val="0ED62F9C"/>
    <w:rsid w:val="0F11785B"/>
    <w:rsid w:val="0F372967"/>
    <w:rsid w:val="0F4B1309"/>
    <w:rsid w:val="0F8B00D3"/>
    <w:rsid w:val="0FDA7DDA"/>
    <w:rsid w:val="0FFA1150"/>
    <w:rsid w:val="112D72C6"/>
    <w:rsid w:val="11A50508"/>
    <w:rsid w:val="120639A8"/>
    <w:rsid w:val="125D4125"/>
    <w:rsid w:val="12AE4121"/>
    <w:rsid w:val="13583391"/>
    <w:rsid w:val="137F4008"/>
    <w:rsid w:val="13F672DD"/>
    <w:rsid w:val="140C5848"/>
    <w:rsid w:val="141B497D"/>
    <w:rsid w:val="143E38B7"/>
    <w:rsid w:val="144E5CD4"/>
    <w:rsid w:val="15220493"/>
    <w:rsid w:val="158F210D"/>
    <w:rsid w:val="15E12A88"/>
    <w:rsid w:val="15E95672"/>
    <w:rsid w:val="16271D63"/>
    <w:rsid w:val="165C7589"/>
    <w:rsid w:val="16BD2FB9"/>
    <w:rsid w:val="16E7731D"/>
    <w:rsid w:val="179855D1"/>
    <w:rsid w:val="18BE3ED4"/>
    <w:rsid w:val="19607D81"/>
    <w:rsid w:val="199503FD"/>
    <w:rsid w:val="19AF5CF6"/>
    <w:rsid w:val="1A3F5603"/>
    <w:rsid w:val="1A7A7FF5"/>
    <w:rsid w:val="1AA54D0B"/>
    <w:rsid w:val="1B870B5B"/>
    <w:rsid w:val="1BBC09F6"/>
    <w:rsid w:val="1C3672FA"/>
    <w:rsid w:val="1C3A751E"/>
    <w:rsid w:val="1C5D00DA"/>
    <w:rsid w:val="1C7D0C1A"/>
    <w:rsid w:val="1C7E2DD6"/>
    <w:rsid w:val="1CAD4CCB"/>
    <w:rsid w:val="1CCC40C9"/>
    <w:rsid w:val="1D186F9D"/>
    <w:rsid w:val="1D882A1C"/>
    <w:rsid w:val="1DA251E1"/>
    <w:rsid w:val="1DA93704"/>
    <w:rsid w:val="1F295D72"/>
    <w:rsid w:val="1F4325C8"/>
    <w:rsid w:val="1F595BBB"/>
    <w:rsid w:val="1F7C7957"/>
    <w:rsid w:val="1FD21E35"/>
    <w:rsid w:val="1FD96681"/>
    <w:rsid w:val="1FE10390"/>
    <w:rsid w:val="1FEE7A9C"/>
    <w:rsid w:val="200E58BD"/>
    <w:rsid w:val="205164A7"/>
    <w:rsid w:val="2090238B"/>
    <w:rsid w:val="20BA6502"/>
    <w:rsid w:val="216D7544"/>
    <w:rsid w:val="21B80AA5"/>
    <w:rsid w:val="221703FC"/>
    <w:rsid w:val="221A30CB"/>
    <w:rsid w:val="225216B5"/>
    <w:rsid w:val="22B37446"/>
    <w:rsid w:val="235408E6"/>
    <w:rsid w:val="239838E3"/>
    <w:rsid w:val="23FD5BE3"/>
    <w:rsid w:val="24386853"/>
    <w:rsid w:val="24613C7E"/>
    <w:rsid w:val="24715F69"/>
    <w:rsid w:val="249F5850"/>
    <w:rsid w:val="24B140D4"/>
    <w:rsid w:val="24C569C9"/>
    <w:rsid w:val="24CD28B9"/>
    <w:rsid w:val="24F907DC"/>
    <w:rsid w:val="250D35C2"/>
    <w:rsid w:val="252A03F9"/>
    <w:rsid w:val="25EF43C8"/>
    <w:rsid w:val="262E08BF"/>
    <w:rsid w:val="263951B2"/>
    <w:rsid w:val="263E55AD"/>
    <w:rsid w:val="264B37D3"/>
    <w:rsid w:val="276739C5"/>
    <w:rsid w:val="27930B1B"/>
    <w:rsid w:val="283146AB"/>
    <w:rsid w:val="288C6204"/>
    <w:rsid w:val="28953442"/>
    <w:rsid w:val="28A96A0F"/>
    <w:rsid w:val="28EE7A07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1A5D63"/>
    <w:rsid w:val="2C2907BF"/>
    <w:rsid w:val="2C80477B"/>
    <w:rsid w:val="2CA73FE3"/>
    <w:rsid w:val="2CCE5273"/>
    <w:rsid w:val="2CD46AFB"/>
    <w:rsid w:val="2CE15438"/>
    <w:rsid w:val="2D812190"/>
    <w:rsid w:val="2DA94150"/>
    <w:rsid w:val="2E1176AC"/>
    <w:rsid w:val="2E232CF9"/>
    <w:rsid w:val="2ECB7AE0"/>
    <w:rsid w:val="2F0E5D72"/>
    <w:rsid w:val="2F235269"/>
    <w:rsid w:val="2F322289"/>
    <w:rsid w:val="2F4B1C2D"/>
    <w:rsid w:val="303917A0"/>
    <w:rsid w:val="30571C73"/>
    <w:rsid w:val="30943D7F"/>
    <w:rsid w:val="309C7501"/>
    <w:rsid w:val="313A0372"/>
    <w:rsid w:val="316C26E3"/>
    <w:rsid w:val="31B6217A"/>
    <w:rsid w:val="32305666"/>
    <w:rsid w:val="328D4D87"/>
    <w:rsid w:val="32EC2013"/>
    <w:rsid w:val="33021368"/>
    <w:rsid w:val="33133DBA"/>
    <w:rsid w:val="33491F36"/>
    <w:rsid w:val="33883009"/>
    <w:rsid w:val="346C2BDC"/>
    <w:rsid w:val="34991CB3"/>
    <w:rsid w:val="34E63221"/>
    <w:rsid w:val="34EA3595"/>
    <w:rsid w:val="34F31159"/>
    <w:rsid w:val="34F61BA3"/>
    <w:rsid w:val="35684E72"/>
    <w:rsid w:val="35D34EB8"/>
    <w:rsid w:val="361A0DD1"/>
    <w:rsid w:val="363A75C1"/>
    <w:rsid w:val="36950F43"/>
    <w:rsid w:val="36F13745"/>
    <w:rsid w:val="37235D83"/>
    <w:rsid w:val="386C1CFB"/>
    <w:rsid w:val="388C38C8"/>
    <w:rsid w:val="388E6306"/>
    <w:rsid w:val="3891144C"/>
    <w:rsid w:val="38E40513"/>
    <w:rsid w:val="393853EE"/>
    <w:rsid w:val="39474FFC"/>
    <w:rsid w:val="39A12E64"/>
    <w:rsid w:val="39E551C2"/>
    <w:rsid w:val="3A985F9F"/>
    <w:rsid w:val="3ACA79CB"/>
    <w:rsid w:val="3ACD696C"/>
    <w:rsid w:val="3B1A6BBF"/>
    <w:rsid w:val="3B1D04C9"/>
    <w:rsid w:val="3B3850C1"/>
    <w:rsid w:val="3B564493"/>
    <w:rsid w:val="3B68666D"/>
    <w:rsid w:val="3B924465"/>
    <w:rsid w:val="3BA94452"/>
    <w:rsid w:val="3BBE60DD"/>
    <w:rsid w:val="3BC526E3"/>
    <w:rsid w:val="3BE64D6A"/>
    <w:rsid w:val="3C6C7288"/>
    <w:rsid w:val="3C8B2EA4"/>
    <w:rsid w:val="3CC85F33"/>
    <w:rsid w:val="3D2A61C0"/>
    <w:rsid w:val="3D2A699D"/>
    <w:rsid w:val="3D6F2596"/>
    <w:rsid w:val="3DC16634"/>
    <w:rsid w:val="3E1A5B77"/>
    <w:rsid w:val="3E3D115C"/>
    <w:rsid w:val="3E816ACA"/>
    <w:rsid w:val="3EBA3F51"/>
    <w:rsid w:val="3ED90D52"/>
    <w:rsid w:val="3EFB0DA2"/>
    <w:rsid w:val="3F152563"/>
    <w:rsid w:val="3F4371E9"/>
    <w:rsid w:val="3F5B25E2"/>
    <w:rsid w:val="3FBE5D52"/>
    <w:rsid w:val="3FEB354A"/>
    <w:rsid w:val="40273EB3"/>
    <w:rsid w:val="403917EB"/>
    <w:rsid w:val="404F7A6B"/>
    <w:rsid w:val="405326DF"/>
    <w:rsid w:val="40636AEE"/>
    <w:rsid w:val="40705D5D"/>
    <w:rsid w:val="40C765F3"/>
    <w:rsid w:val="41071BAC"/>
    <w:rsid w:val="41256FB7"/>
    <w:rsid w:val="4154071D"/>
    <w:rsid w:val="42263FAE"/>
    <w:rsid w:val="42C843A0"/>
    <w:rsid w:val="42F20CDD"/>
    <w:rsid w:val="43776349"/>
    <w:rsid w:val="43A46A86"/>
    <w:rsid w:val="43EE5166"/>
    <w:rsid w:val="44B2766E"/>
    <w:rsid w:val="44C82F04"/>
    <w:rsid w:val="453D01E5"/>
    <w:rsid w:val="45834801"/>
    <w:rsid w:val="458F4D24"/>
    <w:rsid w:val="459C5BD8"/>
    <w:rsid w:val="45B01F58"/>
    <w:rsid w:val="45ED56E7"/>
    <w:rsid w:val="45F60A50"/>
    <w:rsid w:val="465B1E86"/>
    <w:rsid w:val="46C6208F"/>
    <w:rsid w:val="47D03CF6"/>
    <w:rsid w:val="482C6CD1"/>
    <w:rsid w:val="4853345A"/>
    <w:rsid w:val="48845C84"/>
    <w:rsid w:val="489C44D3"/>
    <w:rsid w:val="48F82FC3"/>
    <w:rsid w:val="490D3059"/>
    <w:rsid w:val="49500FEB"/>
    <w:rsid w:val="4982678C"/>
    <w:rsid w:val="49F32E1B"/>
    <w:rsid w:val="49FF1C1E"/>
    <w:rsid w:val="4A0B7057"/>
    <w:rsid w:val="4A280667"/>
    <w:rsid w:val="4A511B6E"/>
    <w:rsid w:val="4A7C4548"/>
    <w:rsid w:val="4B5B5B93"/>
    <w:rsid w:val="4B901389"/>
    <w:rsid w:val="4C2C30BE"/>
    <w:rsid w:val="4C3A2A9D"/>
    <w:rsid w:val="4C5D2EB7"/>
    <w:rsid w:val="4C8D7B0E"/>
    <w:rsid w:val="4CBF03D6"/>
    <w:rsid w:val="4D014AEF"/>
    <w:rsid w:val="4D513299"/>
    <w:rsid w:val="4DA22392"/>
    <w:rsid w:val="4DBE5704"/>
    <w:rsid w:val="4E9A7FF9"/>
    <w:rsid w:val="4EDF702E"/>
    <w:rsid w:val="4EF148C1"/>
    <w:rsid w:val="4F047884"/>
    <w:rsid w:val="4F813AF7"/>
    <w:rsid w:val="4FBD6EC5"/>
    <w:rsid w:val="4FBF1AB2"/>
    <w:rsid w:val="50150A2D"/>
    <w:rsid w:val="50416453"/>
    <w:rsid w:val="504E5AC6"/>
    <w:rsid w:val="505076EF"/>
    <w:rsid w:val="505F3BD5"/>
    <w:rsid w:val="508668C6"/>
    <w:rsid w:val="508A0B34"/>
    <w:rsid w:val="513C5648"/>
    <w:rsid w:val="51736098"/>
    <w:rsid w:val="51B14BED"/>
    <w:rsid w:val="51B42F14"/>
    <w:rsid w:val="51EE252C"/>
    <w:rsid w:val="51FA3D86"/>
    <w:rsid w:val="52022698"/>
    <w:rsid w:val="526965AA"/>
    <w:rsid w:val="52954081"/>
    <w:rsid w:val="531E2281"/>
    <w:rsid w:val="54175BE1"/>
    <w:rsid w:val="5445166E"/>
    <w:rsid w:val="54632332"/>
    <w:rsid w:val="54944CE7"/>
    <w:rsid w:val="55436523"/>
    <w:rsid w:val="55CA20E9"/>
    <w:rsid w:val="55ED23C7"/>
    <w:rsid w:val="56196A30"/>
    <w:rsid w:val="563C5184"/>
    <w:rsid w:val="565631F5"/>
    <w:rsid w:val="56C44CD3"/>
    <w:rsid w:val="57A83C8B"/>
    <w:rsid w:val="581B09AF"/>
    <w:rsid w:val="582E227B"/>
    <w:rsid w:val="583A05D7"/>
    <w:rsid w:val="58983966"/>
    <w:rsid w:val="589E3B99"/>
    <w:rsid w:val="589F3533"/>
    <w:rsid w:val="593261D2"/>
    <w:rsid w:val="59423730"/>
    <w:rsid w:val="595A6E9E"/>
    <w:rsid w:val="5A8F1C82"/>
    <w:rsid w:val="5AA04D8D"/>
    <w:rsid w:val="5AFF5DE6"/>
    <w:rsid w:val="5B4026E8"/>
    <w:rsid w:val="5B482E24"/>
    <w:rsid w:val="5C9A4DB7"/>
    <w:rsid w:val="5D1A39EE"/>
    <w:rsid w:val="5D5C7688"/>
    <w:rsid w:val="5E224225"/>
    <w:rsid w:val="5E2732CD"/>
    <w:rsid w:val="5E336F39"/>
    <w:rsid w:val="60205F90"/>
    <w:rsid w:val="608E2F6C"/>
    <w:rsid w:val="60EC3C37"/>
    <w:rsid w:val="61542874"/>
    <w:rsid w:val="61A058F7"/>
    <w:rsid w:val="62082A4E"/>
    <w:rsid w:val="623C28E2"/>
    <w:rsid w:val="62D53BF4"/>
    <w:rsid w:val="632579DD"/>
    <w:rsid w:val="63483DC6"/>
    <w:rsid w:val="63610183"/>
    <w:rsid w:val="637947A5"/>
    <w:rsid w:val="63D0005D"/>
    <w:rsid w:val="64644F1D"/>
    <w:rsid w:val="64B7605C"/>
    <w:rsid w:val="652B096E"/>
    <w:rsid w:val="658B678B"/>
    <w:rsid w:val="65E73B66"/>
    <w:rsid w:val="66131984"/>
    <w:rsid w:val="66785612"/>
    <w:rsid w:val="66E16576"/>
    <w:rsid w:val="66E33C2D"/>
    <w:rsid w:val="67427945"/>
    <w:rsid w:val="68233C28"/>
    <w:rsid w:val="68282B6E"/>
    <w:rsid w:val="68480E87"/>
    <w:rsid w:val="6906197A"/>
    <w:rsid w:val="692A17F3"/>
    <w:rsid w:val="69C27972"/>
    <w:rsid w:val="6A2E4954"/>
    <w:rsid w:val="6A6E396D"/>
    <w:rsid w:val="6AC9421D"/>
    <w:rsid w:val="6AD94F47"/>
    <w:rsid w:val="6C4C2667"/>
    <w:rsid w:val="6C7B10C4"/>
    <w:rsid w:val="6CDA49A3"/>
    <w:rsid w:val="6CF36133"/>
    <w:rsid w:val="6D044CB7"/>
    <w:rsid w:val="6D2C0194"/>
    <w:rsid w:val="6DD1076A"/>
    <w:rsid w:val="6DDE3DAF"/>
    <w:rsid w:val="6E1735DC"/>
    <w:rsid w:val="6E2211D6"/>
    <w:rsid w:val="6F1206C7"/>
    <w:rsid w:val="6FBA4BA1"/>
    <w:rsid w:val="6FC330E2"/>
    <w:rsid w:val="70E13200"/>
    <w:rsid w:val="710808ED"/>
    <w:rsid w:val="714420CD"/>
    <w:rsid w:val="715F4C2D"/>
    <w:rsid w:val="724530CF"/>
    <w:rsid w:val="727971D3"/>
    <w:rsid w:val="72CB7F46"/>
    <w:rsid w:val="73121CB7"/>
    <w:rsid w:val="745C121D"/>
    <w:rsid w:val="74BC3FA6"/>
    <w:rsid w:val="74FE041B"/>
    <w:rsid w:val="755C4C37"/>
    <w:rsid w:val="761A2E8D"/>
    <w:rsid w:val="768D7CD7"/>
    <w:rsid w:val="774D1291"/>
    <w:rsid w:val="77647371"/>
    <w:rsid w:val="776C25E5"/>
    <w:rsid w:val="776C3E9D"/>
    <w:rsid w:val="77B7237F"/>
    <w:rsid w:val="78271104"/>
    <w:rsid w:val="784B7472"/>
    <w:rsid w:val="787C3061"/>
    <w:rsid w:val="7962750F"/>
    <w:rsid w:val="796B0021"/>
    <w:rsid w:val="79701A60"/>
    <w:rsid w:val="797218E2"/>
    <w:rsid w:val="7A4205D3"/>
    <w:rsid w:val="7AB05BBC"/>
    <w:rsid w:val="7AB44E97"/>
    <w:rsid w:val="7AB94AC3"/>
    <w:rsid w:val="7AE36910"/>
    <w:rsid w:val="7B940404"/>
    <w:rsid w:val="7BF8597E"/>
    <w:rsid w:val="7C12395E"/>
    <w:rsid w:val="7C14711B"/>
    <w:rsid w:val="7C312516"/>
    <w:rsid w:val="7C45431D"/>
    <w:rsid w:val="7C4A144B"/>
    <w:rsid w:val="7C5E2D26"/>
    <w:rsid w:val="7C963B24"/>
    <w:rsid w:val="7CA520B7"/>
    <w:rsid w:val="7D4C1C46"/>
    <w:rsid w:val="7DB44FBE"/>
    <w:rsid w:val="7DC64605"/>
    <w:rsid w:val="7DD3275A"/>
    <w:rsid w:val="7DDD0501"/>
    <w:rsid w:val="7E2653BA"/>
    <w:rsid w:val="7E2B63E7"/>
    <w:rsid w:val="7E8B79FF"/>
    <w:rsid w:val="7E935AFB"/>
    <w:rsid w:val="7E9C3271"/>
    <w:rsid w:val="7EC65AAB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487</Words>
  <Characters>2780</Characters>
  <Lines>23</Lines>
  <Paragraphs>6</Paragraphs>
  <TotalTime>0</TotalTime>
  <ScaleCrop>false</ScaleCrop>
  <LinksUpToDate>false</LinksUpToDate>
  <CharactersWithSpaces>3261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2022-02-14T15:20:26Z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